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F86E1" w14:textId="25CC9098" w:rsidR="00E357D0" w:rsidRPr="002639D7" w:rsidRDefault="00E357D0" w:rsidP="002639D7">
      <w:pPr>
        <w:pStyle w:val="Heading3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ru-RU"/>
        </w:rPr>
      </w:pPr>
      <w:r w:rsidRPr="002639D7">
        <w:rPr>
          <w:rFonts w:ascii="Verdana" w:hAnsi="Verdana"/>
          <w:bCs w:val="0"/>
          <w:color w:val="000000"/>
          <w:sz w:val="32"/>
          <w:lang w:val="ru-RU"/>
        </w:rPr>
        <w:t>Заметка о Соловьёве</w:t>
      </w:r>
    </w:p>
    <w:p w14:paraId="33D3ECCA" w14:textId="4DE930E9" w:rsidR="00E64311" w:rsidRPr="002639D7" w:rsidRDefault="00E64311" w:rsidP="002639D7">
      <w:pPr>
        <w:spacing w:after="0" w:line="240" w:lineRule="auto"/>
        <w:jc w:val="both"/>
        <w:rPr>
          <w:rFonts w:ascii="Verdana" w:hAnsi="Verdana"/>
          <w:sz w:val="24"/>
          <w:szCs w:val="20"/>
          <w:lang w:val="ru-RU"/>
        </w:rPr>
      </w:pPr>
      <w:r w:rsidRPr="002639D7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7C6619E3" w14:textId="77777777" w:rsidR="00E357D0" w:rsidRPr="00E357D0" w:rsidRDefault="00E357D0" w:rsidP="002639D7">
      <w:pPr>
        <w:pStyle w:val="Heading3"/>
        <w:suppressAutoHyphens/>
        <w:spacing w:before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3FC037C" w14:textId="77777777" w:rsidR="00E357D0" w:rsidRPr="00E357D0" w:rsidRDefault="00E357D0" w:rsidP="002639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57D0">
        <w:rPr>
          <w:rFonts w:ascii="Verdana" w:hAnsi="Verdana"/>
          <w:color w:val="000000"/>
          <w:sz w:val="20"/>
          <w:lang w:val="ru-RU"/>
        </w:rPr>
        <w:t>В. С. Соловьев («Судьба Пушкина») совершает ошибку, свойственную энциклопедисту. Особенность поэтической системы мышления: персонификация. Зла, добра, золотой середины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всего. Возможно, первый поэт и был «всех ничтожней», но не в смысле дуэли. По этой же причине и рассуждение В. С. об эпиграмме шатко. Эпиграммы пишутся по той же причине, что и «Я помню чудное мгновенье». Рассуждая об этом стихотворении и о последующих словах о его героине в письме к Вульфу, В. С. решает противоречие в пользу вдохновения, не понимая, так сказать, механики вдохновения, особенно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вдохновения в любовной лирике. Лирическое стихотворение есть персонификация чувств. Адресат является фокусом, в котором сходятся все световые (и силовые) линии, носителем которых является автор. Тот же механизм сработал и в дуэли. Если б не боязнь красивых слов, можно б было сказать, что дуэль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стихотворение, в конце которого раздается выстрел (даже два, и это как бы парная рифма). Энциклопедисту трудно понять, что чувства, а тем паче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помыслы, бывают объективированы. Религиозный мыслитель наблюдает только взлеты и падения. Причем, момент взлета заведомо предпочтителен, а факт падения заслуживает в лучшем случае его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религиозного мыслителя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сожаления. Поэтому религиозный мыслитель и пользуется для объяснения происшедшего в равной мере расплывчатыми терминами («вдохновение», «самолюбивое раздражение»). Я хочу сказать, что в обоих случаях срабатывает один и тот же механизм. Потребность в «гении чистой красоты», будучи персонифицированной, завершается стихотворением; наличие «злого гения», будучи персонифицированным (по крайней мере, с точки зрения А. С. Пушкина), кончается выстрелом. Оба душевных движения имеют одну природу и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по крайней мере, по своей силе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адекватны. Это у них одинаковое все. Коротко говоря, в первом случае персонифицирована любовь, во втором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ненависть.</w:t>
      </w:r>
    </w:p>
    <w:p w14:paraId="261EAD26" w14:textId="77777777" w:rsidR="00E357D0" w:rsidRPr="00E357D0" w:rsidRDefault="00E357D0" w:rsidP="002639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57D0">
        <w:rPr>
          <w:rFonts w:ascii="Verdana" w:hAnsi="Verdana"/>
          <w:color w:val="000000"/>
          <w:sz w:val="20"/>
          <w:lang w:val="ru-RU"/>
        </w:rPr>
        <w:t>Остальное в «Судьбе Пушкина» довольно верно. Я имею в виду самое существенное: фантазию В. С. по поводу «счастливого» исхода дуэли. Да, это была бы жизненная катастрофа. Можно еще добавить, что в случае «счастливого» исхода, т. е. смерти Дантеса, А. С. имел бы и еще один ужас: кем бы он был в глазах своей жены? Убийцей ее возлюбленного. Уравновесила ли бы «сохраненная честь» ненависть жены? Едва ли. И едва ли можно сомневаться, что за убийство иностранца А. С. был бы сослан, лишен прав и т. д. И, конечно, «дарить миру новые светлые произведения» было бы затруднительно, и В. С. более или менее прав, осуждая ту часть публики, которая превращает великого человека в своего маленького идола. Все это верно, и, наверно, пришлось бы уйти в монастырь или принять другую какую схиму, и, конечно же, в три дня умирания произошел духовный перелом и ангелы получили то, что им требовалась. Но есть одно обстоятельство.</w:t>
      </w:r>
    </w:p>
    <w:p w14:paraId="01E56373" w14:textId="77777777" w:rsidR="00E357D0" w:rsidRPr="00E357D0" w:rsidRDefault="00E357D0" w:rsidP="002639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57D0">
        <w:rPr>
          <w:rFonts w:ascii="Verdana" w:hAnsi="Verdana"/>
          <w:color w:val="000000"/>
          <w:sz w:val="20"/>
          <w:lang w:val="ru-RU"/>
        </w:rPr>
        <w:t xml:space="preserve">Для человека «той высоты духа, какую он (А. С.) явил в „Пророке“ и в „Отцах-пустынниках“, счастливый исход обернулся бы, конечно же, жизненной катастрофой. В любом случае на душу был бы взят грех убийства». Но так ли верно утверждение В. С. насчет невозможности новых светлых произведений? Начнем с конца. Почему именно светлых? Видимо потому, что, во-первых, раньше были «светлые» (о чем мы сейчас спорить не будем, а так и примем); во-вторых же, потому, что эстетика энциклопедиста требует именно «светлых». А что если жизненная катастрофа дала бы толчок к созданию «темных»? Тех «темных», которые возникли в нашем, богатом жизненными катастрофами, </w:t>
      </w:r>
      <w:r w:rsidRPr="00E357D0">
        <w:rPr>
          <w:rFonts w:ascii="Verdana" w:hAnsi="Verdana"/>
          <w:color w:val="000000"/>
          <w:sz w:val="20"/>
          <w:lang w:val="ru-RU"/>
        </w:rPr>
        <w:lastRenderedPageBreak/>
        <w:t>столетии? В том-то все и дело, что христианский мыслитель был сыном своего века, последнего века, рассчитанного на гармонию, века, рассчитанного на «светлые» произведения, века, отвергнувшего или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скорее всего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пропустившего при чтении слова Иова: «ибо человек рождается на страдание, чтобы, как искры, взлетать вверх». Как знать, не стал бы наш первый поэт новым Иовом или поэтом отчаяния, поэтом абсурда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следующей ступени отчаяния? Не пришел ли бы и он к шекспировской мысли, что «готовность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это все», т. е. готовность встретить, принять все, что преподносит тебе судьба? Об этом, конечно, можно только гадать, да и гадать-то особенно не хочется. Эти домыслы возникли только в результате приговора нашего христианского мыслителя, гласящего, что «...никакими сокровищами он больше не мог обогатить нашу словесность». В общем, жизнь, отдаваемая на суд энциклопедиста, не должна быть короткой. Или не должна быть жизнью поэта.</w:t>
      </w:r>
    </w:p>
    <w:p w14:paraId="5824E1AE" w14:textId="77777777" w:rsidR="00E357D0" w:rsidRPr="00E357D0" w:rsidRDefault="00E357D0" w:rsidP="002639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57D0">
        <w:rPr>
          <w:rFonts w:ascii="Verdana" w:hAnsi="Verdana"/>
          <w:color w:val="000000"/>
          <w:sz w:val="20"/>
          <w:lang w:val="ru-RU"/>
        </w:rPr>
        <w:t>На протяжении всей статьи В. С, будучи христианским мыслителем энциклопедического толка (или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энциклопедистом христианского толка), все время отворачивается от «темного» в жизни первого поэта. Он формально прав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а по отношению к установившейся точке зрения даже революционен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в своем утверждении, что никаких гонений не было. Да, особенных гонений действительно не было. Конечно же «несколько лет невольного, но привольного житья в Кишиневе, Одессе и собственном Михайловском» не есть «гонение и бедствие». В общем, правильно. Но это слишком энциклопедический взгляд на вещи. При таком энциклопедизме и «чудного мгновения» тоже не было. Христианский мыслитель забывает о нехристианском обществе, об атмосфере невежества и ненависти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в народе, в свете, в полусвете, в царских покоях. Это хуже всякой опалы, и это одно может высечь ту самую искру, о которой говорил Иов, но которую не заметил автор статьи о «Судьбе Пушкина». Коротко говоря, человек, создавший мир в себе и носящий его, рано или поздно становится инородным телом в той среде, где он обитает. И на него начинают действовать все физические законы: сжатия, вытеснения, уничтожения. Такова была судьба Пушкина, и ее он персонифицировал в то холодное утро на Черной речке.</w:t>
      </w:r>
    </w:p>
    <w:p w14:paraId="227E3369" w14:textId="77777777" w:rsidR="002639D7" w:rsidRDefault="00E357D0" w:rsidP="002639D7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357D0">
        <w:rPr>
          <w:rFonts w:ascii="Verdana" w:hAnsi="Verdana"/>
          <w:color w:val="000000"/>
          <w:sz w:val="20"/>
          <w:lang w:val="ru-RU"/>
        </w:rPr>
        <w:t>И хочется сделать еще одно общее замечание. Что это за такой особенный христианский взор, который радуется «вдохновению» в «величии духа», а от «падения» и «себялюбивого раздражения» с брезгливым сожалением отворачивается? Между тем, падение-то и есть не что иное, как мучение духа. И что это за политика предпочтения «взлета»</w:t>
      </w:r>
      <w:r w:rsidRPr="00B024ED">
        <w:rPr>
          <w:rFonts w:ascii="Verdana" w:hAnsi="Verdana"/>
          <w:color w:val="000000"/>
          <w:sz w:val="20"/>
        </w:rPr>
        <w:t> </w:t>
      </w:r>
      <w:r w:rsidRPr="00E357D0">
        <w:rPr>
          <w:rFonts w:ascii="Verdana" w:hAnsi="Verdana"/>
          <w:color w:val="000000"/>
          <w:sz w:val="20"/>
          <w:lang w:val="ru-RU"/>
        </w:rPr>
        <w:t>— «падению»? Не есть ли все это просто-напросто старое клише деления мира и вещей на хорошие—плохие, приобретшее энциклопедические размеры?</w:t>
      </w:r>
    </w:p>
    <w:p w14:paraId="10720153" w14:textId="746D5C63" w:rsidR="00F04D3A" w:rsidRPr="002639D7" w:rsidRDefault="00E357D0" w:rsidP="002639D7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024ED">
        <w:rPr>
          <w:rFonts w:ascii="Verdana" w:hAnsi="Verdana"/>
          <w:i/>
          <w:iCs/>
          <w:color w:val="000000"/>
          <w:sz w:val="20"/>
        </w:rPr>
        <w:t>1971</w:t>
      </w:r>
    </w:p>
    <w:sectPr w:rsidR="00F04D3A" w:rsidRPr="002639D7" w:rsidSect="009E2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7000" w14:textId="77777777" w:rsidR="00A30C5C" w:rsidRDefault="00A30C5C" w:rsidP="009E2123">
      <w:pPr>
        <w:spacing w:after="0" w:line="240" w:lineRule="auto"/>
      </w:pPr>
      <w:r>
        <w:separator/>
      </w:r>
    </w:p>
  </w:endnote>
  <w:endnote w:type="continuationSeparator" w:id="0">
    <w:p w14:paraId="51ED5ED0" w14:textId="77777777" w:rsidR="00A30C5C" w:rsidRDefault="00A30C5C" w:rsidP="009E2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C0F5" w14:textId="77777777" w:rsidR="009E2123" w:rsidRDefault="009E2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68CB" w14:textId="2D87B72B" w:rsidR="009E2123" w:rsidRPr="002639D7" w:rsidRDefault="009E2123">
    <w:pPr>
      <w:pStyle w:val="Footer"/>
      <w:rPr>
        <w:rFonts w:ascii="Arial" w:hAnsi="Arial" w:cs="Arial"/>
        <w:color w:val="999999"/>
        <w:sz w:val="20"/>
        <w:lang w:val="ru-RU"/>
      </w:rPr>
    </w:pPr>
    <w:r w:rsidRPr="002639D7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9E2123">
      <w:rPr>
        <w:rFonts w:ascii="Arial" w:hAnsi="Arial" w:cs="Arial"/>
        <w:color w:val="999999"/>
        <w:sz w:val="20"/>
      </w:rPr>
      <w:t>http</w:t>
    </w:r>
    <w:r w:rsidRPr="002639D7">
      <w:rPr>
        <w:rFonts w:ascii="Arial" w:hAnsi="Arial" w:cs="Arial"/>
        <w:color w:val="999999"/>
        <w:sz w:val="20"/>
        <w:lang w:val="ru-RU"/>
      </w:rPr>
      <w:t>://</w:t>
    </w:r>
    <w:r w:rsidRPr="009E2123">
      <w:rPr>
        <w:rFonts w:ascii="Arial" w:hAnsi="Arial" w:cs="Arial"/>
        <w:color w:val="999999"/>
        <w:sz w:val="20"/>
      </w:rPr>
      <w:t>artefact</w:t>
    </w:r>
    <w:r w:rsidRPr="002639D7">
      <w:rPr>
        <w:rFonts w:ascii="Arial" w:hAnsi="Arial" w:cs="Arial"/>
        <w:color w:val="999999"/>
        <w:sz w:val="20"/>
        <w:lang w:val="ru-RU"/>
      </w:rPr>
      <w:t>.</w:t>
    </w:r>
    <w:r w:rsidRPr="009E2123">
      <w:rPr>
        <w:rFonts w:ascii="Arial" w:hAnsi="Arial" w:cs="Arial"/>
        <w:color w:val="999999"/>
        <w:sz w:val="20"/>
      </w:rPr>
      <w:t>lib</w:t>
    </w:r>
    <w:r w:rsidRPr="002639D7">
      <w:rPr>
        <w:rFonts w:ascii="Arial" w:hAnsi="Arial" w:cs="Arial"/>
        <w:color w:val="999999"/>
        <w:sz w:val="20"/>
        <w:lang w:val="ru-RU"/>
      </w:rPr>
      <w:t>.</w:t>
    </w:r>
    <w:r w:rsidRPr="009E2123">
      <w:rPr>
        <w:rFonts w:ascii="Arial" w:hAnsi="Arial" w:cs="Arial"/>
        <w:color w:val="999999"/>
        <w:sz w:val="20"/>
      </w:rPr>
      <w:t>ru</w:t>
    </w:r>
    <w:r w:rsidRPr="002639D7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0F118" w14:textId="77777777" w:rsidR="009E2123" w:rsidRDefault="009E2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9E98" w14:textId="77777777" w:rsidR="00A30C5C" w:rsidRDefault="00A30C5C" w:rsidP="009E2123">
      <w:pPr>
        <w:spacing w:after="0" w:line="240" w:lineRule="auto"/>
      </w:pPr>
      <w:r>
        <w:separator/>
      </w:r>
    </w:p>
  </w:footnote>
  <w:footnote w:type="continuationSeparator" w:id="0">
    <w:p w14:paraId="6922E084" w14:textId="77777777" w:rsidR="00A30C5C" w:rsidRDefault="00A30C5C" w:rsidP="009E2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D4AB" w14:textId="77777777" w:rsidR="009E2123" w:rsidRDefault="009E21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2CBB" w14:textId="117E18BD" w:rsidR="009E2123" w:rsidRPr="002639D7" w:rsidRDefault="009E2123">
    <w:pPr>
      <w:pStyle w:val="Header"/>
      <w:rPr>
        <w:rFonts w:ascii="Arial" w:hAnsi="Arial" w:cs="Arial"/>
        <w:color w:val="999999"/>
        <w:sz w:val="20"/>
        <w:lang w:val="ru-RU"/>
      </w:rPr>
    </w:pPr>
    <w:r w:rsidRPr="002639D7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9E2123">
      <w:rPr>
        <w:rFonts w:ascii="Arial" w:hAnsi="Arial" w:cs="Arial"/>
        <w:color w:val="999999"/>
        <w:sz w:val="20"/>
      </w:rPr>
      <w:t>http</w:t>
    </w:r>
    <w:r w:rsidRPr="002639D7">
      <w:rPr>
        <w:rFonts w:ascii="Arial" w:hAnsi="Arial" w:cs="Arial"/>
        <w:color w:val="999999"/>
        <w:sz w:val="20"/>
        <w:lang w:val="ru-RU"/>
      </w:rPr>
      <w:t>://</w:t>
    </w:r>
    <w:r w:rsidRPr="009E2123">
      <w:rPr>
        <w:rFonts w:ascii="Arial" w:hAnsi="Arial" w:cs="Arial"/>
        <w:color w:val="999999"/>
        <w:sz w:val="20"/>
      </w:rPr>
      <w:t>artefact</w:t>
    </w:r>
    <w:r w:rsidRPr="002639D7">
      <w:rPr>
        <w:rFonts w:ascii="Arial" w:hAnsi="Arial" w:cs="Arial"/>
        <w:color w:val="999999"/>
        <w:sz w:val="20"/>
        <w:lang w:val="ru-RU"/>
      </w:rPr>
      <w:t>.</w:t>
    </w:r>
    <w:r w:rsidRPr="009E2123">
      <w:rPr>
        <w:rFonts w:ascii="Arial" w:hAnsi="Arial" w:cs="Arial"/>
        <w:color w:val="999999"/>
        <w:sz w:val="20"/>
      </w:rPr>
      <w:t>lib</w:t>
    </w:r>
    <w:r w:rsidRPr="002639D7">
      <w:rPr>
        <w:rFonts w:ascii="Arial" w:hAnsi="Arial" w:cs="Arial"/>
        <w:color w:val="999999"/>
        <w:sz w:val="20"/>
        <w:lang w:val="ru-RU"/>
      </w:rPr>
      <w:t>.</w:t>
    </w:r>
    <w:r w:rsidRPr="009E2123">
      <w:rPr>
        <w:rFonts w:ascii="Arial" w:hAnsi="Arial" w:cs="Arial"/>
        <w:color w:val="999999"/>
        <w:sz w:val="20"/>
      </w:rPr>
      <w:t>ru</w:t>
    </w:r>
    <w:r w:rsidRPr="002639D7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BC2C7" w14:textId="77777777" w:rsidR="009E2123" w:rsidRDefault="009E2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39D7"/>
    <w:rsid w:val="0029639D"/>
    <w:rsid w:val="00326F90"/>
    <w:rsid w:val="004C5E3B"/>
    <w:rsid w:val="009E2123"/>
    <w:rsid w:val="00A30C5C"/>
    <w:rsid w:val="00AA1D8D"/>
    <w:rsid w:val="00B47730"/>
    <w:rsid w:val="00CB0664"/>
    <w:rsid w:val="00E357D0"/>
    <w:rsid w:val="00E64311"/>
    <w:rsid w:val="00F04D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4D4AE57"/>
  <w14:defaultImageDpi w14:val="300"/>
  <w15:docId w15:val="{C9C74D03-6042-49D4-BC72-127D6BCA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Заметка о Соловьёве</dc:title>
  <dc:subject/>
  <dc:creator>Иосиф Бродский</dc:creator>
  <cp:keywords/>
  <dc:description/>
  <cp:lastModifiedBy>Andrey Piskunov</cp:lastModifiedBy>
  <cp:revision>8</cp:revision>
  <dcterms:created xsi:type="dcterms:W3CDTF">2013-12-23T23:15:00Z</dcterms:created>
  <dcterms:modified xsi:type="dcterms:W3CDTF">2026-07-01T07:19:00Z</dcterms:modified>
  <cp:category/>
</cp:coreProperties>
</file>